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B4D6" w14:textId="77777777" w:rsidR="007544A9" w:rsidRDefault="00C5024C" w:rsidP="00F45BE1">
      <w:pPr>
        <w:rPr>
          <w:rFonts w:asciiTheme="minorHAnsi" w:hAnsi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78E1A37B" wp14:editId="2855998E">
                <wp:simplePos x="0" y="0"/>
                <wp:positionH relativeFrom="page">
                  <wp:posOffset>351130</wp:posOffset>
                </wp:positionH>
                <wp:positionV relativeFrom="page">
                  <wp:posOffset>197510</wp:posOffset>
                </wp:positionV>
                <wp:extent cx="11932920" cy="530225"/>
                <wp:effectExtent l="0" t="0" r="11430" b="222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2920" cy="530225"/>
                          <a:chOff x="330" y="308"/>
                          <a:chExt cx="11586" cy="83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7" y="360"/>
                            <a:ext cx="11487" cy="7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C57ED" w14:textId="56723587" w:rsidR="00C5024C" w:rsidRDefault="000C0A65" w:rsidP="00C5024C">
                              <w:pPr>
                                <w:pStyle w:val="Header"/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="008E4DC2"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 xml:space="preserve">Grammar Unit </w:t>
                              </w:r>
                              <w:r w:rsidR="00AC6753"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>8</w:t>
                              </w:r>
                              <w:r w:rsidR="008E4DC2"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>:</w:t>
                              </w:r>
                              <w:r w:rsidR="00AC6753">
                                <w:rPr>
                                  <w:rFonts w:ascii="Calibri" w:hAnsi="Calibri"/>
                                  <w:color w:val="FFFFFF"/>
                                  <w:sz w:val="36"/>
                                  <w:szCs w:val="28"/>
                                </w:rPr>
                                <w:t xml:space="preserve"> Relative Clauses – Defining and Non-defining relative clauses</w:t>
                              </w:r>
                            </w:p>
                            <w:p w14:paraId="31D6126A" w14:textId="77777777" w:rsidR="00C5024C" w:rsidRPr="002B200A" w:rsidRDefault="00C5024C" w:rsidP="00C5024C">
                              <w:pPr>
                                <w:pStyle w:val="Header"/>
                                <w:rPr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0" y="308"/>
                            <a:ext cx="11586" cy="8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1A37B" id="Group 5" o:spid="_x0000_s1026" style="position:absolute;margin-left:27.65pt;margin-top:15.55pt;width:939.6pt;height:41.75pt;z-index:251661312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" o:allowincell="f">
                <v:rect id="Rectangle 6" o:spid="_x0000_s1027" style="position:absolute;left:377;top:360;width:1148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" fillcolor="#e36c0a [2409]" stroked="f" strokecolor="white" strokeweight="1.5pt">
                  <v:textbox>
                    <w:txbxContent>
                      <w:p w14:paraId="5E4C57ED" w14:textId="56723587" w:rsidR="00C5024C" w:rsidRDefault="000C0A65" w:rsidP="00C5024C">
                        <w:pPr>
                          <w:pStyle w:val="Header"/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 xml:space="preserve"> </w:t>
                        </w:r>
                        <w:r w:rsidR="008E4DC2"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 xml:space="preserve">Grammar Unit </w:t>
                        </w:r>
                        <w:r w:rsidR="00AC6753"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>8</w:t>
                        </w:r>
                        <w:r w:rsidR="008E4DC2"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>:</w:t>
                        </w:r>
                        <w:r w:rsidR="00AC6753">
                          <w:rPr>
                            <w:rFonts w:ascii="Calibri" w:hAnsi="Calibri"/>
                            <w:color w:val="FFFFFF"/>
                            <w:sz w:val="36"/>
                            <w:szCs w:val="28"/>
                          </w:rPr>
                          <w:t xml:space="preserve"> Relative Clauses – Defining and Non-defining relative clauses</w:t>
                        </w:r>
                      </w:p>
                      <w:p w14:paraId="31D6126A" w14:textId="77777777" w:rsidR="00C5024C" w:rsidRPr="002B200A" w:rsidRDefault="00C5024C" w:rsidP="00C5024C">
                        <w:pPr>
                          <w:pStyle w:val="Header"/>
                          <w:rPr>
                            <w:rFonts w:ascii="Calibri" w:hAnsi="Calibri"/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2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</w:p>
    <w:p w14:paraId="7F49519A" w14:textId="77777777" w:rsidR="007544A9" w:rsidRPr="00A14372" w:rsidRDefault="007544A9" w:rsidP="00F45BE1">
      <w:pPr>
        <w:rPr>
          <w:rFonts w:asciiTheme="minorHAnsi" w:hAnsiTheme="minorHAnsi"/>
        </w:rPr>
      </w:pPr>
    </w:p>
    <w:tbl>
      <w:tblPr>
        <w:tblW w:w="18757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37"/>
        <w:gridCol w:w="3870"/>
        <w:gridCol w:w="5400"/>
        <w:gridCol w:w="3510"/>
        <w:gridCol w:w="2340"/>
      </w:tblGrid>
      <w:tr w:rsidR="00FD2AD9" w:rsidRPr="00A14372" w14:paraId="1D076CA0" w14:textId="77777777" w:rsidTr="00276EE0">
        <w:tc>
          <w:tcPr>
            <w:tcW w:w="3637" w:type="dxa"/>
            <w:tcBorders>
              <w:bottom w:val="single" w:sz="4" w:space="0" w:color="000000"/>
            </w:tcBorders>
            <w:shd w:val="clear" w:color="auto" w:fill="000000"/>
          </w:tcPr>
          <w:p w14:paraId="3ACC754F" w14:textId="77777777" w:rsidR="00FD2AD9" w:rsidRPr="00C5024C" w:rsidRDefault="00772520" w:rsidP="00E276F5">
            <w:pPr>
              <w:tabs>
                <w:tab w:val="left" w:pos="409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961BA" wp14:editId="0356EC2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-40335</wp:posOffset>
                      </wp:positionV>
                      <wp:extent cx="11910695" cy="2743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106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32D423" w14:textId="77777777" w:rsidR="00E276F5" w:rsidRPr="00E276F5" w:rsidRDefault="00E276F5">
                                  <w:pP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E276F5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>Screen title:</w:t>
                                  </w:r>
                                  <w:r w:rsidR="005436FD">
                                    <w:rPr>
                                      <w:rFonts w:asciiTheme="minorHAnsi" w:hAnsi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961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margin-left:-6pt;margin-top:-3.2pt;width:937.8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" filled="f" stroked="f" strokeweight=".5pt">
                      <v:textbox>
                        <w:txbxContent>
                          <w:p w14:paraId="5032D423" w14:textId="77777777" w:rsidR="00E276F5" w:rsidRPr="00E276F5" w:rsidRDefault="00E276F5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</w:rPr>
                            </w:pPr>
                            <w:r w:rsidRPr="00E276F5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Screen title:</w:t>
                            </w:r>
                            <w:r w:rsidR="005436FD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000000"/>
          </w:tcPr>
          <w:p w14:paraId="50BD34FC" w14:textId="77777777" w:rsidR="00FD2AD9" w:rsidRPr="00C5024C" w:rsidRDefault="00FD2AD9" w:rsidP="004E2DFC">
            <w:pPr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 xml:space="preserve">                                                    </w:t>
            </w:r>
          </w:p>
        </w:tc>
        <w:tc>
          <w:tcPr>
            <w:tcW w:w="8910" w:type="dxa"/>
            <w:gridSpan w:val="2"/>
            <w:tcBorders>
              <w:bottom w:val="single" w:sz="4" w:space="0" w:color="000000"/>
            </w:tcBorders>
            <w:shd w:val="clear" w:color="auto" w:fill="000000"/>
          </w:tcPr>
          <w:p w14:paraId="05A686DC" w14:textId="77777777" w:rsidR="00FD2AD9" w:rsidRPr="00C5024C" w:rsidRDefault="00FD2AD9" w:rsidP="004E2DFC">
            <w:pPr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000000"/>
          </w:tcPr>
          <w:p w14:paraId="60905B32" w14:textId="77777777" w:rsidR="00FD2AD9" w:rsidRPr="00C5024C" w:rsidRDefault="00FD2AD9" w:rsidP="004E2DFC">
            <w:pPr>
              <w:rPr>
                <w:rFonts w:asciiTheme="minorHAnsi" w:hAnsiTheme="minorHAnsi"/>
              </w:rPr>
            </w:pPr>
          </w:p>
        </w:tc>
      </w:tr>
      <w:tr w:rsidR="00FD2AD9" w:rsidRPr="00A14372" w14:paraId="2B6C98B9" w14:textId="77777777" w:rsidTr="00AC6753">
        <w:tc>
          <w:tcPr>
            <w:tcW w:w="3637" w:type="dxa"/>
            <w:shd w:val="clear" w:color="auto" w:fill="FABF8F" w:themeFill="accent6" w:themeFillTint="99"/>
          </w:tcPr>
          <w:p w14:paraId="40DEF956" w14:textId="77777777"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Audio:</w:t>
            </w:r>
          </w:p>
        </w:tc>
        <w:tc>
          <w:tcPr>
            <w:tcW w:w="3870" w:type="dxa"/>
            <w:shd w:val="clear" w:color="auto" w:fill="FABF8F" w:themeFill="accent6" w:themeFillTint="99"/>
          </w:tcPr>
          <w:p w14:paraId="45102F75" w14:textId="77777777"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On-screen text:</w:t>
            </w:r>
          </w:p>
        </w:tc>
        <w:tc>
          <w:tcPr>
            <w:tcW w:w="5400" w:type="dxa"/>
            <w:shd w:val="clear" w:color="auto" w:fill="FABF8F" w:themeFill="accent6" w:themeFillTint="99"/>
          </w:tcPr>
          <w:p w14:paraId="18F985D4" w14:textId="77777777"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On-screen graphics</w:t>
            </w:r>
            <w:r w:rsidR="000A316F">
              <w:rPr>
                <w:rFonts w:asciiTheme="minorHAnsi" w:hAnsiTheme="minorHAnsi"/>
              </w:rPr>
              <w:t>:</w:t>
            </w:r>
          </w:p>
        </w:tc>
        <w:tc>
          <w:tcPr>
            <w:tcW w:w="3510" w:type="dxa"/>
            <w:shd w:val="clear" w:color="auto" w:fill="FABF8F" w:themeFill="accent6" w:themeFillTint="99"/>
          </w:tcPr>
          <w:p w14:paraId="378FE631" w14:textId="77777777" w:rsidR="00FD2AD9" w:rsidRPr="00C5024C" w:rsidRDefault="00FD2AD9" w:rsidP="004E2DFC">
            <w:pPr>
              <w:jc w:val="center"/>
              <w:rPr>
                <w:rFonts w:asciiTheme="minorHAnsi" w:hAnsiTheme="minorHAnsi"/>
              </w:rPr>
            </w:pPr>
            <w:r w:rsidRPr="00C5024C">
              <w:rPr>
                <w:rFonts w:asciiTheme="minorHAnsi" w:hAnsiTheme="minorHAnsi"/>
              </w:rPr>
              <w:t>Graphic notes &amp; navigation:</w:t>
            </w:r>
          </w:p>
        </w:tc>
        <w:tc>
          <w:tcPr>
            <w:tcW w:w="2340" w:type="dxa"/>
            <w:shd w:val="clear" w:color="auto" w:fill="FABF8F" w:themeFill="accent6" w:themeFillTint="99"/>
          </w:tcPr>
          <w:p w14:paraId="267EA6EA" w14:textId="77777777" w:rsidR="00FD2AD9" w:rsidRPr="00C5024C" w:rsidRDefault="00FD2AD9" w:rsidP="00C5024C">
            <w:pPr>
              <w:pStyle w:val="Header"/>
              <w:rPr>
                <w:noProof/>
              </w:rPr>
            </w:pPr>
            <w:r w:rsidRPr="00C5024C">
              <w:rPr>
                <w:rFonts w:asciiTheme="minorHAnsi" w:hAnsiTheme="minorHAnsi"/>
              </w:rPr>
              <w:t>Reviewer comments</w:t>
            </w:r>
            <w:r w:rsidR="00DF7FEB" w:rsidRPr="00C5024C">
              <w:rPr>
                <w:rFonts w:asciiTheme="minorHAnsi" w:hAnsiTheme="minorHAnsi"/>
              </w:rPr>
              <w:t>:</w:t>
            </w:r>
            <w:r w:rsidR="00C5024C" w:rsidRPr="00C5024C">
              <w:rPr>
                <w:noProof/>
              </w:rPr>
              <w:t xml:space="preserve"> </w:t>
            </w:r>
          </w:p>
          <w:p w14:paraId="63D632ED" w14:textId="77777777" w:rsidR="00C5024C" w:rsidRPr="00C5024C" w:rsidRDefault="00C5024C" w:rsidP="00C5024C">
            <w:pPr>
              <w:pStyle w:val="Header"/>
            </w:pPr>
          </w:p>
        </w:tc>
      </w:tr>
      <w:tr w:rsidR="00FD2AD9" w:rsidRPr="00FD2AD9" w14:paraId="6E16E7E0" w14:textId="77777777" w:rsidTr="00276EE0">
        <w:tc>
          <w:tcPr>
            <w:tcW w:w="3637" w:type="dxa"/>
          </w:tcPr>
          <w:p w14:paraId="002BB6E5" w14:textId="5A602A65" w:rsidR="00FD2AD9" w:rsidRPr="00C5024C" w:rsidRDefault="00780BB4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Hello, class! Today, we’ll </w:t>
            </w:r>
            <w:r w:rsidR="007F0988">
              <w:rPr>
                <w:rFonts w:asciiTheme="minorHAnsi" w:hAnsiTheme="minorHAnsi"/>
              </w:rPr>
              <w:t>learn about the “Relative Clauses”</w:t>
            </w:r>
          </w:p>
        </w:tc>
        <w:tc>
          <w:tcPr>
            <w:tcW w:w="3870" w:type="dxa"/>
          </w:tcPr>
          <w:p w14:paraId="28141FD2" w14:textId="77777777" w:rsidR="00FD2AD9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(Introduction)</w:t>
            </w:r>
          </w:p>
          <w:p w14:paraId="271590B6" w14:textId="77E723AF" w:rsidR="00780BB4" w:rsidRPr="00C5024C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="007F0988">
              <w:rPr>
                <w:rFonts w:asciiTheme="minorHAnsi" w:hAnsiTheme="minorHAnsi"/>
              </w:rPr>
              <w:t>Relative Clauses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5400" w:type="dxa"/>
          </w:tcPr>
          <w:p w14:paraId="015D5AAE" w14:textId="1D2BED5E" w:rsidR="00780BB4" w:rsidRPr="00772520" w:rsidRDefault="00AC6753" w:rsidP="007725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D463EA6" wp14:editId="278B1185">
                  <wp:extent cx="3276600" cy="18440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56C8067" w14:textId="77777777" w:rsidR="00D02484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5E86DC4A" w14:textId="42A45B8D" w:rsidR="00780BB4" w:rsidRPr="00C5024C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NEXT= “</w:t>
            </w:r>
            <w:r w:rsidR="007F0988">
              <w:rPr>
                <w:rFonts w:asciiTheme="minorHAnsi" w:hAnsiTheme="minorHAnsi"/>
              </w:rPr>
              <w:t>Review”</w:t>
            </w:r>
          </w:p>
        </w:tc>
        <w:tc>
          <w:tcPr>
            <w:tcW w:w="2340" w:type="dxa"/>
          </w:tcPr>
          <w:p w14:paraId="76BDE569" w14:textId="77777777" w:rsidR="00FD2AD9" w:rsidRPr="00C5024C" w:rsidRDefault="00FD2AD9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14:paraId="404B47C7" w14:textId="77777777" w:rsidTr="00276EE0">
        <w:tc>
          <w:tcPr>
            <w:tcW w:w="3637" w:type="dxa"/>
          </w:tcPr>
          <w:p w14:paraId="3531C79A" w14:textId="77777777" w:rsidR="000C0A65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Before going further, we will review what we have learn about relative clauses.</w:t>
            </w:r>
          </w:p>
          <w:p w14:paraId="4A046194" w14:textId="77777777" w:rsidR="007F0988" w:rsidRDefault="007F0988" w:rsidP="008A6EB4">
            <w:pPr>
              <w:rPr>
                <w:rFonts w:asciiTheme="minorHAnsi" w:hAnsiTheme="minorHAnsi"/>
              </w:rPr>
            </w:pPr>
          </w:p>
          <w:p w14:paraId="37BA5AD5" w14:textId="77777777" w:rsidR="007F0988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First, we use the relative clauses when we want to provide more information about people / things are mentioned.</w:t>
            </w:r>
          </w:p>
          <w:p w14:paraId="7FCA6A97" w14:textId="22DCCA13" w:rsidR="007F0988" w:rsidRPr="00C5024C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  <w:t xml:space="preserve">Second, Relative Clauses often start with Relative Pronouns such as Who, Whom, Whose, Which. And Relative Adverbs such as When, Where and Why. </w:t>
            </w:r>
          </w:p>
        </w:tc>
        <w:tc>
          <w:tcPr>
            <w:tcW w:w="3870" w:type="dxa"/>
          </w:tcPr>
          <w:p w14:paraId="3BBE12F4" w14:textId="77777777" w:rsidR="000C0A65" w:rsidRDefault="007F0988" w:rsidP="007F0988">
            <w:pPr>
              <w:rPr>
                <w:rFonts w:asciiTheme="minorHAnsi" w:hAnsiTheme="minorHAnsi"/>
              </w:rPr>
            </w:pPr>
            <w:r w:rsidRPr="007F0988">
              <w:rPr>
                <w:rFonts w:asciiTheme="minorHAnsi" w:hAnsiTheme="minorHAnsi"/>
              </w:rPr>
              <w:t>Review</w:t>
            </w:r>
          </w:p>
          <w:p w14:paraId="6565E170" w14:textId="77777777" w:rsidR="007F0988" w:rsidRDefault="007F0988" w:rsidP="007F0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Usage: to provide more information about people / things are mentioned.</w:t>
            </w:r>
          </w:p>
          <w:p w14:paraId="60AF6C0F" w14:textId="77777777" w:rsidR="007F0988" w:rsidRDefault="007F0988" w:rsidP="007F0988">
            <w:pPr>
              <w:rPr>
                <w:rFonts w:asciiTheme="minorHAnsi" w:hAnsiTheme="minorHAnsi"/>
              </w:rPr>
            </w:pPr>
          </w:p>
          <w:p w14:paraId="641D3390" w14:textId="7663CF4C" w:rsidR="007F0988" w:rsidRDefault="007F0988" w:rsidP="007F0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Relative Clauses often start with </w:t>
            </w:r>
          </w:p>
          <w:p w14:paraId="4EE90C60" w14:textId="77777777" w:rsidR="007F0988" w:rsidRDefault="007F0988" w:rsidP="007F0988">
            <w:pPr>
              <w:rPr>
                <w:rFonts w:asciiTheme="minorHAnsi" w:hAnsiTheme="minorHAnsi"/>
              </w:rPr>
            </w:pPr>
          </w:p>
          <w:p w14:paraId="7296EB97" w14:textId="4F501957" w:rsidR="007F0988" w:rsidRDefault="007F0988" w:rsidP="007F0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Relative Pronouns such as Who, Whom, Whose, Which.</w:t>
            </w:r>
          </w:p>
          <w:p w14:paraId="79A7B3FC" w14:textId="77777777" w:rsidR="007F0988" w:rsidRDefault="007F0988" w:rsidP="007F0988">
            <w:pPr>
              <w:rPr>
                <w:rFonts w:asciiTheme="minorHAnsi" w:hAnsiTheme="minorHAnsi"/>
              </w:rPr>
            </w:pPr>
          </w:p>
          <w:p w14:paraId="13682A8E" w14:textId="22D8FE7D" w:rsidR="007F0988" w:rsidRPr="007F0988" w:rsidRDefault="007F0988" w:rsidP="007F0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Relative Adverbs such as When, </w:t>
            </w:r>
            <w:proofErr w:type="gramStart"/>
            <w:r>
              <w:rPr>
                <w:rFonts w:asciiTheme="minorHAnsi" w:hAnsiTheme="minorHAnsi"/>
              </w:rPr>
              <w:t>Where,</w:t>
            </w:r>
            <w:proofErr w:type="gramEnd"/>
            <w:r>
              <w:rPr>
                <w:rFonts w:asciiTheme="minorHAnsi" w:hAnsiTheme="minorHAnsi"/>
              </w:rPr>
              <w:t xml:space="preserve"> Why.</w:t>
            </w:r>
          </w:p>
        </w:tc>
        <w:tc>
          <w:tcPr>
            <w:tcW w:w="5400" w:type="dxa"/>
          </w:tcPr>
          <w:p w14:paraId="1E353B44" w14:textId="2D9466ED" w:rsidR="00780BB4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13D706F" wp14:editId="475E8FE1">
                  <wp:extent cx="3230880" cy="1516149"/>
                  <wp:effectExtent l="0" t="0" r="762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085" cy="153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B2F6396" w14:textId="77777777" w:rsidR="000C0A65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640C610F" w14:textId="01DBA2A2" w:rsidR="00780BB4" w:rsidRPr="00C5024C" w:rsidRDefault="00780BB4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NEXT= </w:t>
            </w:r>
            <w:r w:rsidR="009803FF">
              <w:rPr>
                <w:rFonts w:asciiTheme="minorHAnsi" w:hAnsiTheme="minorHAnsi"/>
              </w:rPr>
              <w:t>Relative Pronouns</w:t>
            </w:r>
          </w:p>
        </w:tc>
        <w:tc>
          <w:tcPr>
            <w:tcW w:w="2340" w:type="dxa"/>
          </w:tcPr>
          <w:p w14:paraId="49F4681F" w14:textId="77777777"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14:paraId="52C371CE" w14:textId="77777777" w:rsidTr="00276EE0">
        <w:tc>
          <w:tcPr>
            <w:tcW w:w="3637" w:type="dxa"/>
          </w:tcPr>
          <w:p w14:paraId="4C3F4482" w14:textId="77777777" w:rsidR="009803FF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For relative pronouns, we have </w:t>
            </w:r>
          </w:p>
          <w:p w14:paraId="42C3B8C8" w14:textId="77777777" w:rsidR="00780BB4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use in relative clauses are subject and object</w:t>
            </w:r>
            <w:r w:rsidR="00780BB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and use for people.</w:t>
            </w:r>
          </w:p>
          <w:p w14:paraId="04BA1A34" w14:textId="77777777" w:rsidR="009803FF" w:rsidRDefault="009803FF" w:rsidP="008A6EB4">
            <w:pPr>
              <w:rPr>
                <w:rFonts w:asciiTheme="minorHAnsi" w:hAnsiTheme="minorHAnsi"/>
              </w:rPr>
            </w:pPr>
          </w:p>
          <w:p w14:paraId="1FBBF1F6" w14:textId="77777777" w:rsidR="009803FF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Whom is object and for people </w:t>
            </w:r>
          </w:p>
          <w:p w14:paraId="5392A78D" w14:textId="77777777" w:rsidR="009803FF" w:rsidRDefault="009803FF" w:rsidP="008A6EB4">
            <w:pPr>
              <w:rPr>
                <w:rFonts w:asciiTheme="minorHAnsi" w:hAnsiTheme="minorHAnsi"/>
              </w:rPr>
            </w:pPr>
          </w:p>
          <w:p w14:paraId="534D4B4E" w14:textId="0504680D" w:rsidR="009803FF" w:rsidRPr="00C5024C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 Whose is possessive and for both people and things.</w:t>
            </w:r>
          </w:p>
        </w:tc>
        <w:tc>
          <w:tcPr>
            <w:tcW w:w="3870" w:type="dxa"/>
          </w:tcPr>
          <w:p w14:paraId="7F810D45" w14:textId="77777777" w:rsidR="00335249" w:rsidRDefault="009803FF" w:rsidP="009803FF">
            <w:pPr>
              <w:pStyle w:val="ListParagraph"/>
              <w:numPr>
                <w:ilvl w:val="0"/>
                <w:numId w:val="13"/>
              </w:numPr>
              <w:ind w:left="155" w:hanging="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Relative Pronouns</w:t>
            </w:r>
          </w:p>
          <w:p w14:paraId="42BF319C" w14:textId="77777777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WHO </w:t>
            </w:r>
          </w:p>
          <w:p w14:paraId="3B18391B" w14:textId="77777777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FUNCTIONS IN RELATIVE CLAUSE: SUBJECT, OBJECT FOR PEOPLE.</w:t>
            </w:r>
          </w:p>
          <w:p w14:paraId="3E332894" w14:textId="77777777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</w:p>
          <w:p w14:paraId="3FDC7AB5" w14:textId="77777777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WHOM</w:t>
            </w:r>
          </w:p>
          <w:p w14:paraId="085C3F3C" w14:textId="2C67362B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FUNCTIONS IN RELATIVE CLAUSE: OBJECT FOR PEOPLE.</w:t>
            </w:r>
          </w:p>
          <w:p w14:paraId="0E95DEF9" w14:textId="2697B7A6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</w:p>
          <w:p w14:paraId="256D0FD5" w14:textId="061FC0EF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WHOSE</w:t>
            </w:r>
          </w:p>
          <w:p w14:paraId="2FFDE423" w14:textId="1B52D17A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FUNCTIONS IN RELATIVE CLAUSE: POSSESSIVE FOR PEOPLE OR THINGS.</w:t>
            </w:r>
          </w:p>
          <w:p w14:paraId="0B394AF9" w14:textId="77777777" w:rsid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</w:p>
          <w:p w14:paraId="24883A3C" w14:textId="2485E630" w:rsidR="009803FF" w:rsidRPr="009803FF" w:rsidRDefault="009803FF" w:rsidP="009803FF">
            <w:pPr>
              <w:pStyle w:val="ListParagraph"/>
              <w:ind w:left="155"/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14:paraId="192EDB2E" w14:textId="00F8C8BF" w:rsidR="00335249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60DABC2" wp14:editId="6FCE243A">
                  <wp:extent cx="3314700" cy="1630571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050" cy="164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59B33DA" w14:textId="77777777" w:rsidR="00335249" w:rsidRDefault="00335249" w:rsidP="003352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1E20F841" w14:textId="2BFC0EE5" w:rsidR="000C0A65" w:rsidRPr="00C5024C" w:rsidRDefault="00335249" w:rsidP="003352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NEXT= </w:t>
            </w:r>
            <w:r w:rsidR="009803FF">
              <w:rPr>
                <w:rFonts w:asciiTheme="minorHAnsi" w:hAnsiTheme="minorHAnsi"/>
              </w:rPr>
              <w:t>Relative pronouns</w:t>
            </w:r>
          </w:p>
        </w:tc>
        <w:tc>
          <w:tcPr>
            <w:tcW w:w="2340" w:type="dxa"/>
          </w:tcPr>
          <w:p w14:paraId="71E0A915" w14:textId="77777777"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  <w:tr w:rsidR="000C0A65" w:rsidRPr="00FD2AD9" w14:paraId="6D0426D2" w14:textId="77777777" w:rsidTr="00276EE0">
        <w:tc>
          <w:tcPr>
            <w:tcW w:w="3637" w:type="dxa"/>
          </w:tcPr>
          <w:p w14:paraId="69464368" w14:textId="77777777" w:rsidR="00335249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Next, we have</w:t>
            </w:r>
          </w:p>
          <w:p w14:paraId="42F9692F" w14:textId="77777777" w:rsidR="009803FF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Which use for subject and object replace things.</w:t>
            </w:r>
          </w:p>
          <w:p w14:paraId="72E81B35" w14:textId="77777777" w:rsidR="009803FF" w:rsidRDefault="009803FF" w:rsidP="008A6EB4">
            <w:pPr>
              <w:rPr>
                <w:rFonts w:asciiTheme="minorHAnsi" w:hAnsiTheme="minorHAnsi"/>
              </w:rPr>
            </w:pPr>
          </w:p>
          <w:p w14:paraId="0CEB8781" w14:textId="5A2ED530" w:rsidR="009803FF" w:rsidRPr="00C5024C" w:rsidRDefault="009803FF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 the last one, That for object. We use that for people or things</w:t>
            </w:r>
          </w:p>
        </w:tc>
        <w:tc>
          <w:tcPr>
            <w:tcW w:w="3870" w:type="dxa"/>
          </w:tcPr>
          <w:p w14:paraId="42BA1FED" w14:textId="43EA3497" w:rsidR="000C0A65" w:rsidRDefault="009803FF" w:rsidP="00A10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Relative pronouns</w:t>
            </w:r>
          </w:p>
          <w:p w14:paraId="2D00CEA6" w14:textId="3B0B8AC2" w:rsidR="009803FF" w:rsidRPr="009803FF" w:rsidRDefault="009803FF" w:rsidP="009803FF">
            <w:pPr>
              <w:rPr>
                <w:rFonts w:asciiTheme="minorHAnsi" w:hAnsiTheme="minorHAnsi"/>
              </w:rPr>
            </w:pPr>
            <w:r w:rsidRPr="009803FF">
              <w:rPr>
                <w:rFonts w:asciiTheme="minorHAnsi" w:hAnsiTheme="minorHAnsi"/>
              </w:rPr>
              <w:t>WH</w:t>
            </w:r>
            <w:r>
              <w:rPr>
                <w:rFonts w:asciiTheme="minorHAnsi" w:hAnsiTheme="minorHAnsi"/>
              </w:rPr>
              <w:t>ICH</w:t>
            </w:r>
          </w:p>
          <w:p w14:paraId="13047BFE" w14:textId="1D174987" w:rsidR="009803FF" w:rsidRDefault="009803FF" w:rsidP="009803FF">
            <w:pPr>
              <w:rPr>
                <w:rFonts w:asciiTheme="minorHAnsi" w:hAnsiTheme="minorHAnsi"/>
              </w:rPr>
            </w:pPr>
            <w:r w:rsidRPr="009803FF">
              <w:rPr>
                <w:rFonts w:asciiTheme="minorHAnsi" w:hAnsiTheme="minorHAnsi"/>
              </w:rPr>
              <w:t xml:space="preserve">FUNCTIONS IN RELATIVE CLAUSE: SUBJECT, OBJECT FOR </w:t>
            </w:r>
            <w:r>
              <w:rPr>
                <w:rFonts w:asciiTheme="minorHAnsi" w:hAnsiTheme="minorHAnsi"/>
              </w:rPr>
              <w:t>THINGS</w:t>
            </w:r>
            <w:r w:rsidRPr="009803FF">
              <w:rPr>
                <w:rFonts w:asciiTheme="minorHAnsi" w:hAnsiTheme="minorHAnsi"/>
              </w:rPr>
              <w:t>.</w:t>
            </w:r>
          </w:p>
          <w:p w14:paraId="7021B773" w14:textId="77777777" w:rsidR="009803FF" w:rsidRPr="009803FF" w:rsidRDefault="009803FF" w:rsidP="009803FF">
            <w:pPr>
              <w:rPr>
                <w:rFonts w:asciiTheme="minorHAnsi" w:hAnsiTheme="minorHAnsi"/>
              </w:rPr>
            </w:pPr>
          </w:p>
          <w:p w14:paraId="4F36F2AA" w14:textId="2F4F1676" w:rsidR="009803FF" w:rsidRPr="009803FF" w:rsidRDefault="009803FF" w:rsidP="009803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THAT</w:t>
            </w:r>
          </w:p>
          <w:p w14:paraId="0A083F19" w14:textId="3351839D" w:rsidR="009803FF" w:rsidRDefault="009803FF" w:rsidP="009803FF">
            <w:pPr>
              <w:rPr>
                <w:rFonts w:asciiTheme="minorHAnsi" w:hAnsiTheme="minorHAnsi"/>
              </w:rPr>
            </w:pPr>
            <w:r w:rsidRPr="009803FF">
              <w:rPr>
                <w:rFonts w:asciiTheme="minorHAnsi" w:hAnsiTheme="minorHAnsi"/>
              </w:rPr>
              <w:t xml:space="preserve">FUNCTIONS IN RELATIVE CLAUSE: OBJECT FOR </w:t>
            </w:r>
            <w:r>
              <w:rPr>
                <w:rFonts w:asciiTheme="minorHAnsi" w:hAnsiTheme="minorHAnsi"/>
              </w:rPr>
              <w:t>PEOPLE OR THINGS</w:t>
            </w:r>
            <w:r w:rsidRPr="009803FF">
              <w:rPr>
                <w:rFonts w:asciiTheme="minorHAnsi" w:hAnsiTheme="minorHAnsi"/>
              </w:rPr>
              <w:t>.</w:t>
            </w:r>
          </w:p>
          <w:p w14:paraId="31B53671" w14:textId="6FF96F7D" w:rsidR="00335249" w:rsidRPr="000028D4" w:rsidRDefault="00335249" w:rsidP="000028D4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14:paraId="0FF64F97" w14:textId="6C5AA52B" w:rsidR="000C0A65" w:rsidRDefault="007F0988" w:rsidP="008A6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CAE496A" wp14:editId="25435D12">
                  <wp:extent cx="3276600" cy="18440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75812B8" w14:textId="77777777" w:rsidR="00335249" w:rsidRDefault="00335249" w:rsidP="003352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08D305E6" w14:textId="0BF4CAFA" w:rsidR="000C0A65" w:rsidRPr="00C5024C" w:rsidRDefault="00335249" w:rsidP="003352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NEXT= </w:t>
            </w:r>
            <w:r w:rsidR="009803FF">
              <w:rPr>
                <w:rFonts w:asciiTheme="minorHAnsi" w:hAnsiTheme="minorHAnsi"/>
              </w:rPr>
              <w:t>Defining and Non-defining relative clauses</w:t>
            </w:r>
          </w:p>
        </w:tc>
        <w:tc>
          <w:tcPr>
            <w:tcW w:w="2340" w:type="dxa"/>
          </w:tcPr>
          <w:p w14:paraId="2295EF25" w14:textId="77777777" w:rsidR="000C0A65" w:rsidRPr="00C5024C" w:rsidRDefault="000C0A65" w:rsidP="00FD2AD9">
            <w:pPr>
              <w:rPr>
                <w:rFonts w:asciiTheme="minorHAnsi" w:hAnsiTheme="minorHAnsi"/>
              </w:rPr>
            </w:pPr>
          </w:p>
        </w:tc>
      </w:tr>
      <w:tr w:rsidR="000028D4" w:rsidRPr="00FD2AD9" w14:paraId="3E02574F" w14:textId="77777777" w:rsidTr="00276EE0">
        <w:tc>
          <w:tcPr>
            <w:tcW w:w="3637" w:type="dxa"/>
          </w:tcPr>
          <w:p w14:paraId="535231F6" w14:textId="19468BF9" w:rsidR="000028D4" w:rsidRDefault="009D260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Now, we come to the defining and non-defining relative clauses.</w:t>
            </w:r>
          </w:p>
        </w:tc>
        <w:tc>
          <w:tcPr>
            <w:tcW w:w="3870" w:type="dxa"/>
          </w:tcPr>
          <w:p w14:paraId="5D1CFAA8" w14:textId="1A7D9107" w:rsidR="000028D4" w:rsidRDefault="000028D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D2604">
              <w:rPr>
                <w:rFonts w:asciiTheme="minorHAnsi" w:hAnsiTheme="minorHAnsi"/>
              </w:rPr>
              <w:t>Defining and Non-defining relative clauses</w:t>
            </w:r>
          </w:p>
        </w:tc>
        <w:tc>
          <w:tcPr>
            <w:tcW w:w="5400" w:type="dxa"/>
          </w:tcPr>
          <w:p w14:paraId="3BC8E323" w14:textId="3A3B09FF" w:rsidR="000028D4" w:rsidRDefault="009D2604" w:rsidP="000028D4">
            <w:pPr>
              <w:rPr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80C5F8C" wp14:editId="38E4BD32">
                  <wp:extent cx="3276600" cy="1844040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24BE82F8" w14:textId="77777777" w:rsidR="000028D4" w:rsidRDefault="000028D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3BB321FC" w14:textId="6F133246" w:rsidR="000028D4" w:rsidRPr="00C5024C" w:rsidRDefault="000028D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NEXT=</w:t>
            </w:r>
            <w:r w:rsidR="009D2604">
              <w:rPr>
                <w:rFonts w:asciiTheme="minorHAnsi" w:hAnsiTheme="minorHAnsi"/>
              </w:rPr>
              <w:t>Defining and Non-defining relative clauses</w:t>
            </w:r>
          </w:p>
        </w:tc>
        <w:tc>
          <w:tcPr>
            <w:tcW w:w="2340" w:type="dxa"/>
          </w:tcPr>
          <w:p w14:paraId="622B9BBC" w14:textId="77777777" w:rsidR="000028D4" w:rsidRPr="00C5024C" w:rsidRDefault="000028D4" w:rsidP="000028D4">
            <w:pPr>
              <w:rPr>
                <w:rFonts w:asciiTheme="minorHAnsi" w:hAnsiTheme="minorHAnsi"/>
              </w:rPr>
            </w:pPr>
          </w:p>
        </w:tc>
      </w:tr>
      <w:tr w:rsidR="000028D4" w:rsidRPr="00FD2AD9" w14:paraId="32D5FF05" w14:textId="77777777" w:rsidTr="00276EE0">
        <w:tc>
          <w:tcPr>
            <w:tcW w:w="3637" w:type="dxa"/>
          </w:tcPr>
          <w:p w14:paraId="39F84AED" w14:textId="77777777" w:rsidR="000028D4" w:rsidRDefault="009D260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These are 2 examples of Defining and Non-defining relative clause. </w:t>
            </w:r>
          </w:p>
          <w:p w14:paraId="7ADC4DA2" w14:textId="313A7E21" w:rsidR="009D2604" w:rsidRDefault="009D2604" w:rsidP="000028D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14:paraId="638FD320" w14:textId="77777777" w:rsidR="000028D4" w:rsidRDefault="009D260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Defining and Non-defining relative clauses</w:t>
            </w:r>
          </w:p>
          <w:p w14:paraId="4985BECB" w14:textId="77777777" w:rsidR="009D2604" w:rsidRDefault="009D2604" w:rsidP="009D260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boy that she’s playing with is my brother.</w:t>
            </w:r>
          </w:p>
          <w:p w14:paraId="24A19797" w14:textId="77D2B691" w:rsidR="009D2604" w:rsidRPr="009D2604" w:rsidRDefault="009D2604" w:rsidP="009D260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Mr. John, who is my English teacher, has won the lottery.</w:t>
            </w:r>
          </w:p>
        </w:tc>
        <w:tc>
          <w:tcPr>
            <w:tcW w:w="5400" w:type="dxa"/>
          </w:tcPr>
          <w:p w14:paraId="66414BBA" w14:textId="1B84422A" w:rsidR="000028D4" w:rsidRDefault="007F0988" w:rsidP="000028D4">
            <w:pPr>
              <w:rPr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BEB1402" wp14:editId="446B66E5">
                  <wp:extent cx="3276600" cy="18440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16BCFF7" w14:textId="77777777" w:rsidR="009D2604" w:rsidRDefault="009D2604" w:rsidP="009D26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7A9E3C2C" w14:textId="101602C9" w:rsidR="000028D4" w:rsidRDefault="009D2604" w:rsidP="009D26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NEXT=Defining and Non-defining relative clauses</w:t>
            </w:r>
          </w:p>
        </w:tc>
        <w:tc>
          <w:tcPr>
            <w:tcW w:w="2340" w:type="dxa"/>
          </w:tcPr>
          <w:p w14:paraId="23774D1C" w14:textId="77777777" w:rsidR="000028D4" w:rsidRPr="00C5024C" w:rsidRDefault="000028D4" w:rsidP="000028D4">
            <w:pPr>
              <w:rPr>
                <w:rFonts w:asciiTheme="minorHAnsi" w:hAnsiTheme="minorHAnsi"/>
              </w:rPr>
            </w:pPr>
          </w:p>
        </w:tc>
      </w:tr>
      <w:tr w:rsidR="007F0988" w:rsidRPr="00FD2AD9" w14:paraId="40F66CF7" w14:textId="77777777" w:rsidTr="00276EE0">
        <w:tc>
          <w:tcPr>
            <w:tcW w:w="3637" w:type="dxa"/>
          </w:tcPr>
          <w:p w14:paraId="7B4278D6" w14:textId="4EC18209" w:rsidR="007F0988" w:rsidRDefault="009D2604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we look at the first example, a noun “The boy” is a non-defining noun because listeners cannot understand who boy is? </w:t>
            </w:r>
            <w:r w:rsidR="00621C3D">
              <w:rPr>
                <w:rFonts w:asciiTheme="minorHAnsi" w:hAnsiTheme="minorHAnsi"/>
              </w:rPr>
              <w:t>On the other hand, we can understand a noun John</w:t>
            </w:r>
            <w:r w:rsidR="00295ED7">
              <w:rPr>
                <w:rFonts w:asciiTheme="minorHAnsi" w:hAnsiTheme="minorHAnsi"/>
              </w:rPr>
              <w:t xml:space="preserve"> or Mr. John</w:t>
            </w:r>
            <w:r w:rsidR="00621C3D">
              <w:rPr>
                <w:rFonts w:asciiTheme="minorHAnsi" w:hAnsiTheme="minorHAnsi"/>
              </w:rPr>
              <w:t xml:space="preserve"> in the situation which is leading the Usage above. And one more thing is we can use “That” in Defining clause while non defining is not and it also separate by a comma as you can see on the slide.</w:t>
            </w:r>
          </w:p>
        </w:tc>
        <w:tc>
          <w:tcPr>
            <w:tcW w:w="3870" w:type="dxa"/>
          </w:tcPr>
          <w:p w14:paraId="6B366B9E" w14:textId="77777777" w:rsidR="007F0988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Defining and Non-defining relative clauses.</w:t>
            </w:r>
          </w:p>
          <w:p w14:paraId="20EB46B6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Defining</w:t>
            </w:r>
          </w:p>
          <w:p w14:paraId="494862E6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Usage: Add the meaning for a non-defining noun.</w:t>
            </w:r>
          </w:p>
          <w:p w14:paraId="1B1F40BE" w14:textId="77777777" w:rsidR="00621C3D" w:rsidRDefault="00621C3D" w:rsidP="000028D4">
            <w:pPr>
              <w:rPr>
                <w:rFonts w:asciiTheme="minorHAnsi" w:hAnsiTheme="minorHAnsi"/>
              </w:rPr>
            </w:pPr>
          </w:p>
          <w:p w14:paraId="0CCB57A6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Characteristic: Can use “That” in the sentence.</w:t>
            </w:r>
          </w:p>
          <w:p w14:paraId="1F7A00D9" w14:textId="77777777" w:rsidR="00621C3D" w:rsidRDefault="00621C3D" w:rsidP="000028D4">
            <w:pPr>
              <w:rPr>
                <w:rFonts w:asciiTheme="minorHAnsi" w:hAnsiTheme="minorHAnsi"/>
              </w:rPr>
            </w:pPr>
          </w:p>
          <w:p w14:paraId="2DFC0B67" w14:textId="77777777" w:rsidR="00621C3D" w:rsidRDefault="00621C3D" w:rsidP="000028D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E.g.</w:t>
            </w:r>
            <w:proofErr w:type="gramEnd"/>
            <w:r>
              <w:rPr>
                <w:rFonts w:asciiTheme="minorHAnsi" w:hAnsiTheme="minorHAnsi"/>
              </w:rPr>
              <w:t xml:space="preserve"> The boy that she’s playing with is my brother.</w:t>
            </w:r>
          </w:p>
          <w:p w14:paraId="095C92FE" w14:textId="77777777" w:rsidR="00621C3D" w:rsidRDefault="00621C3D" w:rsidP="000028D4">
            <w:pPr>
              <w:rPr>
                <w:rFonts w:asciiTheme="minorHAnsi" w:hAnsiTheme="minorHAnsi"/>
              </w:rPr>
            </w:pPr>
          </w:p>
          <w:p w14:paraId="0ABC80D2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Non-defining</w:t>
            </w:r>
          </w:p>
          <w:p w14:paraId="27ADD4F9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Usage: Add the meaning for defining noun.</w:t>
            </w:r>
          </w:p>
          <w:p w14:paraId="13541BE9" w14:textId="77777777" w:rsidR="00621C3D" w:rsidRDefault="00621C3D" w:rsidP="000028D4">
            <w:pPr>
              <w:rPr>
                <w:rFonts w:asciiTheme="minorHAnsi" w:hAnsiTheme="minorHAnsi"/>
              </w:rPr>
            </w:pPr>
          </w:p>
          <w:p w14:paraId="69B9607D" w14:textId="77777777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Characteristic: </w:t>
            </w:r>
            <w:proofErr w:type="spellStart"/>
            <w:r>
              <w:rPr>
                <w:rFonts w:asciiTheme="minorHAnsi" w:hAnsiTheme="minorHAnsi"/>
              </w:rPr>
              <w:t>Can not</w:t>
            </w:r>
            <w:proofErr w:type="spellEnd"/>
            <w:r>
              <w:rPr>
                <w:rFonts w:asciiTheme="minorHAnsi" w:hAnsiTheme="minorHAnsi"/>
              </w:rPr>
              <w:t xml:space="preserve"> use “That” in the sentence.</w:t>
            </w:r>
          </w:p>
          <w:p w14:paraId="27E57E36" w14:textId="77777777" w:rsidR="00621C3D" w:rsidRDefault="00621C3D" w:rsidP="000028D4">
            <w:pPr>
              <w:rPr>
                <w:rFonts w:asciiTheme="minorHAnsi" w:hAnsiTheme="minorHAnsi"/>
              </w:rPr>
            </w:pPr>
          </w:p>
          <w:p w14:paraId="40229112" w14:textId="1F0510DA" w:rsidR="00621C3D" w:rsidRDefault="00621C3D" w:rsidP="000028D4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E.g.</w:t>
            </w:r>
            <w:proofErr w:type="gramEnd"/>
            <w:r>
              <w:rPr>
                <w:rFonts w:asciiTheme="minorHAnsi" w:hAnsiTheme="minorHAnsi"/>
              </w:rPr>
              <w:t xml:space="preserve"> Mr. John, who is my English teacher, has won the lottery.</w:t>
            </w:r>
          </w:p>
        </w:tc>
        <w:tc>
          <w:tcPr>
            <w:tcW w:w="5400" w:type="dxa"/>
          </w:tcPr>
          <w:p w14:paraId="0924259A" w14:textId="1FFB87B0" w:rsidR="007F0988" w:rsidRDefault="00621C3D" w:rsidP="000028D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D2400C" wp14:editId="65B65C30">
                  <wp:extent cx="3276600" cy="1844040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6AA7C7FF" w14:textId="77777777" w:rsidR="009D2604" w:rsidRDefault="009D2604" w:rsidP="009D26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advances by user</w:t>
            </w:r>
          </w:p>
          <w:p w14:paraId="4AC3320D" w14:textId="73FFA3C4" w:rsidR="007F0988" w:rsidRDefault="009D2604" w:rsidP="009D26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NEXT=Thank you for attending</w:t>
            </w:r>
          </w:p>
        </w:tc>
        <w:tc>
          <w:tcPr>
            <w:tcW w:w="2340" w:type="dxa"/>
          </w:tcPr>
          <w:p w14:paraId="3D6403E6" w14:textId="77777777" w:rsidR="007F0988" w:rsidRPr="00C5024C" w:rsidRDefault="007F0988" w:rsidP="000028D4">
            <w:pPr>
              <w:rPr>
                <w:rFonts w:asciiTheme="minorHAnsi" w:hAnsiTheme="minorHAnsi"/>
              </w:rPr>
            </w:pPr>
          </w:p>
        </w:tc>
      </w:tr>
      <w:tr w:rsidR="003008C3" w:rsidRPr="00FD2AD9" w14:paraId="0EDEE92F" w14:textId="77777777" w:rsidTr="00276EE0">
        <w:tc>
          <w:tcPr>
            <w:tcW w:w="3637" w:type="dxa"/>
          </w:tcPr>
          <w:p w14:paraId="3B489E45" w14:textId="77777777" w:rsidR="003008C3" w:rsidRDefault="003008C3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short, we have gone through </w:t>
            </w:r>
            <w:r w:rsidR="00621C3D">
              <w:rPr>
                <w:rFonts w:asciiTheme="minorHAnsi" w:hAnsiTheme="minorHAnsi"/>
              </w:rPr>
              <w:t xml:space="preserve">the usage and the characteristic of defining and non-defining relative clauses. </w:t>
            </w:r>
            <w:r w:rsidR="00295ED7">
              <w:rPr>
                <w:rFonts w:asciiTheme="minorHAnsi" w:hAnsiTheme="minorHAnsi"/>
              </w:rPr>
              <w:t>Remember to do the quiz on LMS.</w:t>
            </w:r>
            <w:r w:rsidR="006F36FC">
              <w:rPr>
                <w:rFonts w:asciiTheme="minorHAnsi" w:hAnsiTheme="minorHAnsi"/>
              </w:rPr>
              <w:t xml:space="preserve"> </w:t>
            </w:r>
            <w:r w:rsidR="006F36FC">
              <w:rPr>
                <w:rFonts w:asciiTheme="minorHAnsi" w:hAnsiTheme="minorHAnsi"/>
              </w:rPr>
              <w:t>Goodbye and see you.</w:t>
            </w:r>
          </w:p>
          <w:p w14:paraId="56A5201B" w14:textId="09C3E584" w:rsidR="00E00DB6" w:rsidRDefault="00E00DB6" w:rsidP="000028D4">
            <w:pPr>
              <w:rPr>
                <w:rFonts w:asciiTheme="minorHAnsi" w:hAnsiTheme="minorHAnsi"/>
              </w:rPr>
            </w:pPr>
          </w:p>
        </w:tc>
        <w:tc>
          <w:tcPr>
            <w:tcW w:w="3870" w:type="dxa"/>
          </w:tcPr>
          <w:p w14:paraId="6AD92561" w14:textId="77777777" w:rsidR="003008C3" w:rsidRDefault="003008C3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</w:t>
            </w:r>
            <w:r w:rsidR="00621C3D">
              <w:rPr>
                <w:rFonts w:asciiTheme="minorHAnsi" w:hAnsiTheme="minorHAnsi"/>
              </w:rPr>
              <w:t xml:space="preserve"> you for Attending</w:t>
            </w:r>
          </w:p>
          <w:p w14:paraId="17CD9BFB" w14:textId="615A535E" w:rsidR="00621C3D" w:rsidRDefault="00621C3D" w:rsidP="000028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to do the quiz on LMS.</w:t>
            </w:r>
          </w:p>
        </w:tc>
        <w:tc>
          <w:tcPr>
            <w:tcW w:w="5400" w:type="dxa"/>
          </w:tcPr>
          <w:p w14:paraId="45E59C70" w14:textId="78A9D856" w:rsidR="003008C3" w:rsidRDefault="007F0988" w:rsidP="000028D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DD52E8" wp14:editId="13C244E8">
                  <wp:extent cx="3276600" cy="1844040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14AF4DA1" w14:textId="77777777" w:rsidR="003008C3" w:rsidRDefault="003008C3" w:rsidP="000028D4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2441E445" w14:textId="77777777" w:rsidR="003008C3" w:rsidRPr="00C5024C" w:rsidRDefault="003008C3" w:rsidP="000028D4">
            <w:pPr>
              <w:rPr>
                <w:rFonts w:asciiTheme="minorHAnsi" w:hAnsiTheme="minorHAnsi"/>
              </w:rPr>
            </w:pPr>
          </w:p>
        </w:tc>
      </w:tr>
    </w:tbl>
    <w:p w14:paraId="18A479CE" w14:textId="77777777" w:rsidR="00F45BE1" w:rsidRPr="00FD2AD9" w:rsidRDefault="00F45BE1" w:rsidP="00FD2AD9">
      <w:pPr>
        <w:jc w:val="both"/>
        <w:rPr>
          <w:rFonts w:asciiTheme="minorHAnsi" w:hAnsiTheme="minorHAnsi"/>
        </w:rPr>
      </w:pPr>
    </w:p>
    <w:sectPr w:rsidR="00F45BE1" w:rsidRPr="00FD2AD9" w:rsidSect="00A14372">
      <w:headerReference w:type="default" r:id="rId15"/>
      <w:footerReference w:type="default" r:id="rId16"/>
      <w:footerReference w:type="first" r:id="rId17"/>
      <w:pgSz w:w="20160" w:h="12240" w:orient="landscape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8CD4" w14:textId="77777777" w:rsidR="00054700" w:rsidRDefault="00054700" w:rsidP="00675676">
      <w:r>
        <w:separator/>
      </w:r>
    </w:p>
  </w:endnote>
  <w:endnote w:type="continuationSeparator" w:id="0">
    <w:p w14:paraId="6B6A93CE" w14:textId="77777777" w:rsidR="00054700" w:rsidRDefault="00054700" w:rsidP="006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FD4B" w14:textId="77777777" w:rsidR="00FD1E52" w:rsidRPr="00FD1E52" w:rsidRDefault="00FD1E52">
    <w:pPr>
      <w:pStyle w:val="Footer"/>
      <w:jc w:val="right"/>
      <w:rPr>
        <w:rFonts w:ascii="Calibri" w:hAnsi="Calibri"/>
      </w:rPr>
    </w:pPr>
    <w:r w:rsidRPr="00FD1E52">
      <w:rPr>
        <w:rFonts w:ascii="Calibri" w:hAnsi="Calibri"/>
      </w:rPr>
      <w:t xml:space="preserve">Page </w:t>
    </w:r>
    <w:r w:rsidR="001B7371" w:rsidRPr="00FD1E52">
      <w:rPr>
        <w:rFonts w:ascii="Calibri" w:hAnsi="Calibri"/>
        <w:b/>
      </w:rPr>
      <w:fldChar w:fldCharType="begin"/>
    </w:r>
    <w:r w:rsidRPr="00FD1E52">
      <w:rPr>
        <w:rFonts w:ascii="Calibri" w:hAnsi="Calibri"/>
        <w:b/>
      </w:rPr>
      <w:instrText xml:space="preserve"> PAGE </w:instrText>
    </w:r>
    <w:r w:rsidR="001B7371" w:rsidRPr="00FD1E52">
      <w:rPr>
        <w:rFonts w:ascii="Calibri" w:hAnsi="Calibri"/>
        <w:b/>
      </w:rPr>
      <w:fldChar w:fldCharType="separate"/>
    </w:r>
    <w:r w:rsidR="0079500D">
      <w:rPr>
        <w:rFonts w:ascii="Calibri" w:hAnsi="Calibri"/>
        <w:b/>
        <w:noProof/>
      </w:rPr>
      <w:t>3</w:t>
    </w:r>
    <w:r w:rsidR="001B7371" w:rsidRPr="00FD1E52">
      <w:rPr>
        <w:rFonts w:ascii="Calibri" w:hAnsi="Calibri"/>
        <w:b/>
      </w:rPr>
      <w:fldChar w:fldCharType="end"/>
    </w:r>
    <w:r w:rsidRPr="00FD1E52">
      <w:rPr>
        <w:rFonts w:ascii="Calibri" w:hAnsi="Calibri"/>
      </w:rPr>
      <w:t xml:space="preserve"> of </w:t>
    </w:r>
    <w:r w:rsidR="001B7371" w:rsidRPr="00FD1E52">
      <w:rPr>
        <w:rFonts w:ascii="Calibri" w:hAnsi="Calibri"/>
        <w:b/>
      </w:rPr>
      <w:fldChar w:fldCharType="begin"/>
    </w:r>
    <w:r w:rsidRPr="00FD1E52">
      <w:rPr>
        <w:rFonts w:ascii="Calibri" w:hAnsi="Calibri"/>
        <w:b/>
      </w:rPr>
      <w:instrText xml:space="preserve"> NUMPAGES  </w:instrText>
    </w:r>
    <w:r w:rsidR="001B7371" w:rsidRPr="00FD1E52">
      <w:rPr>
        <w:rFonts w:ascii="Calibri" w:hAnsi="Calibri"/>
        <w:b/>
      </w:rPr>
      <w:fldChar w:fldCharType="separate"/>
    </w:r>
    <w:r w:rsidR="0079500D">
      <w:rPr>
        <w:rFonts w:ascii="Calibri" w:hAnsi="Calibri"/>
        <w:b/>
        <w:noProof/>
      </w:rPr>
      <w:t>3</w:t>
    </w:r>
    <w:r w:rsidR="001B7371" w:rsidRPr="00FD1E52">
      <w:rPr>
        <w:rFonts w:ascii="Calibri" w:hAnsi="Calibri"/>
        <w:b/>
      </w:rPr>
      <w:fldChar w:fldCharType="end"/>
    </w:r>
  </w:p>
  <w:p w14:paraId="3A050674" w14:textId="77777777" w:rsidR="00FD1E52" w:rsidRDefault="00FD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04DB" w14:textId="77777777" w:rsidR="00FD1E52" w:rsidRPr="00FD1E52" w:rsidRDefault="00FD1E52">
    <w:pPr>
      <w:pStyle w:val="Footer"/>
      <w:jc w:val="right"/>
      <w:rPr>
        <w:rFonts w:ascii="Calibri" w:hAnsi="Calibri"/>
        <w:sz w:val="20"/>
      </w:rPr>
    </w:pPr>
    <w:r w:rsidRPr="00FD1E52">
      <w:rPr>
        <w:rFonts w:ascii="Calibri" w:hAnsi="Calibri"/>
        <w:sz w:val="20"/>
      </w:rPr>
      <w:t xml:space="preserve">Page </w:t>
    </w:r>
    <w:r w:rsidR="001B7371" w:rsidRPr="00FD1E52">
      <w:rPr>
        <w:rFonts w:ascii="Calibri" w:hAnsi="Calibri"/>
        <w:b/>
        <w:sz w:val="20"/>
      </w:rPr>
      <w:fldChar w:fldCharType="begin"/>
    </w:r>
    <w:r w:rsidRPr="00FD1E52">
      <w:rPr>
        <w:rFonts w:ascii="Calibri" w:hAnsi="Calibri"/>
        <w:b/>
        <w:sz w:val="20"/>
      </w:rPr>
      <w:instrText xml:space="preserve"> PAGE </w:instrText>
    </w:r>
    <w:r w:rsidR="001B7371" w:rsidRPr="00FD1E52">
      <w:rPr>
        <w:rFonts w:ascii="Calibri" w:hAnsi="Calibri"/>
        <w:b/>
        <w:sz w:val="20"/>
      </w:rPr>
      <w:fldChar w:fldCharType="separate"/>
    </w:r>
    <w:r w:rsidR="0079500D">
      <w:rPr>
        <w:rFonts w:ascii="Calibri" w:hAnsi="Calibri"/>
        <w:b/>
        <w:noProof/>
        <w:sz w:val="20"/>
      </w:rPr>
      <w:t>1</w:t>
    </w:r>
    <w:r w:rsidR="001B7371" w:rsidRPr="00FD1E52">
      <w:rPr>
        <w:rFonts w:ascii="Calibri" w:hAnsi="Calibri"/>
        <w:b/>
        <w:sz w:val="20"/>
      </w:rPr>
      <w:fldChar w:fldCharType="end"/>
    </w:r>
    <w:r w:rsidRPr="00FD1E52">
      <w:rPr>
        <w:rFonts w:ascii="Calibri" w:hAnsi="Calibri"/>
        <w:sz w:val="20"/>
      </w:rPr>
      <w:t xml:space="preserve"> of </w:t>
    </w:r>
    <w:r w:rsidR="001B7371" w:rsidRPr="00FD1E52">
      <w:rPr>
        <w:rFonts w:ascii="Calibri" w:hAnsi="Calibri"/>
        <w:b/>
        <w:sz w:val="20"/>
      </w:rPr>
      <w:fldChar w:fldCharType="begin"/>
    </w:r>
    <w:r w:rsidRPr="00FD1E52">
      <w:rPr>
        <w:rFonts w:ascii="Calibri" w:hAnsi="Calibri"/>
        <w:b/>
        <w:sz w:val="20"/>
      </w:rPr>
      <w:instrText xml:space="preserve"> NUMPAGES  </w:instrText>
    </w:r>
    <w:r w:rsidR="001B7371" w:rsidRPr="00FD1E52">
      <w:rPr>
        <w:rFonts w:ascii="Calibri" w:hAnsi="Calibri"/>
        <w:b/>
        <w:sz w:val="20"/>
      </w:rPr>
      <w:fldChar w:fldCharType="separate"/>
    </w:r>
    <w:r w:rsidR="0079500D">
      <w:rPr>
        <w:rFonts w:ascii="Calibri" w:hAnsi="Calibri"/>
        <w:b/>
        <w:noProof/>
        <w:sz w:val="20"/>
      </w:rPr>
      <w:t>3</w:t>
    </w:r>
    <w:r w:rsidR="001B7371" w:rsidRPr="00FD1E52">
      <w:rPr>
        <w:rFonts w:ascii="Calibri" w:hAnsi="Calibri"/>
        <w:b/>
        <w:sz w:val="20"/>
      </w:rPr>
      <w:fldChar w:fldCharType="end"/>
    </w:r>
  </w:p>
  <w:p w14:paraId="12D00D6B" w14:textId="77777777" w:rsidR="00FD1E52" w:rsidRPr="00FD1E52" w:rsidRDefault="00FD1E52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9A66" w14:textId="77777777" w:rsidR="00054700" w:rsidRDefault="00054700" w:rsidP="00675676">
      <w:r>
        <w:separator/>
      </w:r>
    </w:p>
  </w:footnote>
  <w:footnote w:type="continuationSeparator" w:id="0">
    <w:p w14:paraId="49A0A4FF" w14:textId="77777777" w:rsidR="00054700" w:rsidRDefault="00054700" w:rsidP="0067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656C" w14:textId="77777777" w:rsidR="00675676" w:rsidRPr="00675676" w:rsidRDefault="00675676" w:rsidP="00675676">
    <w:pPr>
      <w:pStyle w:val="Header"/>
      <w:tabs>
        <w:tab w:val="clear" w:pos="4680"/>
        <w:tab w:val="clear" w:pos="9360"/>
        <w:tab w:val="left" w:pos="5835"/>
      </w:tabs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9C5"/>
    <w:multiLevelType w:val="hybridMultilevel"/>
    <w:tmpl w:val="8F680D7E"/>
    <w:lvl w:ilvl="0" w:tplc="43FEC8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62E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7B9"/>
    <w:multiLevelType w:val="hybridMultilevel"/>
    <w:tmpl w:val="A866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67F2"/>
    <w:multiLevelType w:val="hybridMultilevel"/>
    <w:tmpl w:val="E5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F68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0A90"/>
    <w:multiLevelType w:val="hybridMultilevel"/>
    <w:tmpl w:val="EC588534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4D74"/>
    <w:multiLevelType w:val="hybridMultilevel"/>
    <w:tmpl w:val="27D8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236"/>
    <w:multiLevelType w:val="hybridMultilevel"/>
    <w:tmpl w:val="1A1A9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1195"/>
    <w:multiLevelType w:val="hybridMultilevel"/>
    <w:tmpl w:val="7B2E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7056"/>
    <w:multiLevelType w:val="hybridMultilevel"/>
    <w:tmpl w:val="7E4A47A6"/>
    <w:lvl w:ilvl="0" w:tplc="13027A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48DF"/>
    <w:multiLevelType w:val="hybridMultilevel"/>
    <w:tmpl w:val="962CAADE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D542C"/>
    <w:multiLevelType w:val="hybridMultilevel"/>
    <w:tmpl w:val="CB1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4F04"/>
    <w:multiLevelType w:val="hybridMultilevel"/>
    <w:tmpl w:val="34FA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F1B02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6EB8"/>
    <w:multiLevelType w:val="hybridMultilevel"/>
    <w:tmpl w:val="8CB6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4D45"/>
    <w:multiLevelType w:val="hybridMultilevel"/>
    <w:tmpl w:val="EAF66B46"/>
    <w:lvl w:ilvl="0" w:tplc="647EAB06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8485">
    <w:abstractNumId w:val="6"/>
  </w:num>
  <w:num w:numId="2" w16cid:durableId="573703491">
    <w:abstractNumId w:val="10"/>
  </w:num>
  <w:num w:numId="3" w16cid:durableId="264071639">
    <w:abstractNumId w:val="5"/>
  </w:num>
  <w:num w:numId="4" w16cid:durableId="655688184">
    <w:abstractNumId w:val="4"/>
  </w:num>
  <w:num w:numId="5" w16cid:durableId="939995124">
    <w:abstractNumId w:val="15"/>
  </w:num>
  <w:num w:numId="6" w16cid:durableId="1543322455">
    <w:abstractNumId w:val="1"/>
  </w:num>
  <w:num w:numId="7" w16cid:durableId="1738895124">
    <w:abstractNumId w:val="13"/>
  </w:num>
  <w:num w:numId="8" w16cid:durableId="1522470431">
    <w:abstractNumId w:val="12"/>
  </w:num>
  <w:num w:numId="9" w16cid:durableId="1525942102">
    <w:abstractNumId w:val="2"/>
  </w:num>
  <w:num w:numId="10" w16cid:durableId="529681564">
    <w:abstractNumId w:val="8"/>
  </w:num>
  <w:num w:numId="11" w16cid:durableId="1048264256">
    <w:abstractNumId w:val="11"/>
  </w:num>
  <w:num w:numId="12" w16cid:durableId="802699767">
    <w:abstractNumId w:val="3"/>
  </w:num>
  <w:num w:numId="13" w16cid:durableId="47147820">
    <w:abstractNumId w:val="0"/>
  </w:num>
  <w:num w:numId="14" w16cid:durableId="1903952515">
    <w:abstractNumId w:val="9"/>
  </w:num>
  <w:num w:numId="15" w16cid:durableId="1627463466">
    <w:abstractNumId w:val="14"/>
  </w:num>
  <w:num w:numId="16" w16cid:durableId="337971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0A"/>
    <w:rsid w:val="000028D4"/>
    <w:rsid w:val="00022819"/>
    <w:rsid w:val="000261DB"/>
    <w:rsid w:val="000277E8"/>
    <w:rsid w:val="00054700"/>
    <w:rsid w:val="000A316F"/>
    <w:rsid w:val="000C0A65"/>
    <w:rsid w:val="000C178C"/>
    <w:rsid w:val="000C5BB1"/>
    <w:rsid w:val="000F73C7"/>
    <w:rsid w:val="00124023"/>
    <w:rsid w:val="00126A72"/>
    <w:rsid w:val="001430E2"/>
    <w:rsid w:val="0017188F"/>
    <w:rsid w:val="00186D23"/>
    <w:rsid w:val="00192A4D"/>
    <w:rsid w:val="001A76D5"/>
    <w:rsid w:val="001B7371"/>
    <w:rsid w:val="001E352F"/>
    <w:rsid w:val="001F1277"/>
    <w:rsid w:val="0024694D"/>
    <w:rsid w:val="00247EEB"/>
    <w:rsid w:val="00276EE0"/>
    <w:rsid w:val="00295ED7"/>
    <w:rsid w:val="002B200A"/>
    <w:rsid w:val="002B59F2"/>
    <w:rsid w:val="002E22AA"/>
    <w:rsid w:val="003008C3"/>
    <w:rsid w:val="00323775"/>
    <w:rsid w:val="00324645"/>
    <w:rsid w:val="00335249"/>
    <w:rsid w:val="003C0491"/>
    <w:rsid w:val="003D58D8"/>
    <w:rsid w:val="00400BF4"/>
    <w:rsid w:val="004048CC"/>
    <w:rsid w:val="00404D12"/>
    <w:rsid w:val="00444718"/>
    <w:rsid w:val="0047261C"/>
    <w:rsid w:val="00474DCC"/>
    <w:rsid w:val="00475D78"/>
    <w:rsid w:val="00485C81"/>
    <w:rsid w:val="004B132F"/>
    <w:rsid w:val="004E2DFC"/>
    <w:rsid w:val="00523835"/>
    <w:rsid w:val="005436FD"/>
    <w:rsid w:val="00573151"/>
    <w:rsid w:val="005F0537"/>
    <w:rsid w:val="00621C3D"/>
    <w:rsid w:val="00623467"/>
    <w:rsid w:val="00624D7D"/>
    <w:rsid w:val="00640C33"/>
    <w:rsid w:val="006504F3"/>
    <w:rsid w:val="00673696"/>
    <w:rsid w:val="00675676"/>
    <w:rsid w:val="006B4B71"/>
    <w:rsid w:val="006B76D4"/>
    <w:rsid w:val="006E2BF0"/>
    <w:rsid w:val="006F36FC"/>
    <w:rsid w:val="007544A9"/>
    <w:rsid w:val="00772520"/>
    <w:rsid w:val="00780BB4"/>
    <w:rsid w:val="0079500D"/>
    <w:rsid w:val="007B7BFA"/>
    <w:rsid w:val="007F0988"/>
    <w:rsid w:val="007F5601"/>
    <w:rsid w:val="00820A55"/>
    <w:rsid w:val="008749A8"/>
    <w:rsid w:val="00893AD4"/>
    <w:rsid w:val="008A6EB4"/>
    <w:rsid w:val="008E4DC2"/>
    <w:rsid w:val="00973FB1"/>
    <w:rsid w:val="009803FF"/>
    <w:rsid w:val="00995519"/>
    <w:rsid w:val="009970E6"/>
    <w:rsid w:val="009975C3"/>
    <w:rsid w:val="009C32DE"/>
    <w:rsid w:val="009D24BE"/>
    <w:rsid w:val="009D2604"/>
    <w:rsid w:val="009D3930"/>
    <w:rsid w:val="009F3192"/>
    <w:rsid w:val="00A05992"/>
    <w:rsid w:val="00A107CB"/>
    <w:rsid w:val="00A14372"/>
    <w:rsid w:val="00A23D34"/>
    <w:rsid w:val="00A36783"/>
    <w:rsid w:val="00A74ABF"/>
    <w:rsid w:val="00AC6753"/>
    <w:rsid w:val="00AD76F7"/>
    <w:rsid w:val="00B164E4"/>
    <w:rsid w:val="00B372EB"/>
    <w:rsid w:val="00B40F40"/>
    <w:rsid w:val="00B947BD"/>
    <w:rsid w:val="00BB5CF9"/>
    <w:rsid w:val="00BD00A4"/>
    <w:rsid w:val="00BD556D"/>
    <w:rsid w:val="00C426ED"/>
    <w:rsid w:val="00C43D84"/>
    <w:rsid w:val="00C5024C"/>
    <w:rsid w:val="00C756AB"/>
    <w:rsid w:val="00C75CAD"/>
    <w:rsid w:val="00C80567"/>
    <w:rsid w:val="00CE5AEF"/>
    <w:rsid w:val="00CF1F98"/>
    <w:rsid w:val="00D02484"/>
    <w:rsid w:val="00D10F65"/>
    <w:rsid w:val="00D16A5A"/>
    <w:rsid w:val="00D2765B"/>
    <w:rsid w:val="00D30691"/>
    <w:rsid w:val="00D5669A"/>
    <w:rsid w:val="00D76EED"/>
    <w:rsid w:val="00D8601F"/>
    <w:rsid w:val="00D94D82"/>
    <w:rsid w:val="00DB0DCF"/>
    <w:rsid w:val="00DB3D14"/>
    <w:rsid w:val="00DF7FEB"/>
    <w:rsid w:val="00E00DB6"/>
    <w:rsid w:val="00E163FC"/>
    <w:rsid w:val="00E276F5"/>
    <w:rsid w:val="00E27BF6"/>
    <w:rsid w:val="00E578C0"/>
    <w:rsid w:val="00EB7FC9"/>
    <w:rsid w:val="00F032CA"/>
    <w:rsid w:val="00F45BE1"/>
    <w:rsid w:val="00F46957"/>
    <w:rsid w:val="00F82AD3"/>
    <w:rsid w:val="00FB22C8"/>
    <w:rsid w:val="00FB4739"/>
    <w:rsid w:val="00FD1A78"/>
    <w:rsid w:val="00FD1E52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6DC66"/>
  <w15:docId w15:val="{E73980CE-059F-4275-862D-05802056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75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56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56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6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5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re\Desktop\My%20Templates\Storyboard%20Template%2010.21.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Storyboard Template 10.21.10</Template>
  <TotalTime>81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Freeman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Bá Huy Nguyễn</dc:creator>
  <cp:lastModifiedBy>nguyenbahuy8588@gmail.com</cp:lastModifiedBy>
  <cp:revision>5</cp:revision>
  <dcterms:created xsi:type="dcterms:W3CDTF">2022-12-19T21:40:00Z</dcterms:created>
  <dcterms:modified xsi:type="dcterms:W3CDTF">2022-12-20T22:27:00Z</dcterms:modified>
</cp:coreProperties>
</file>